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7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2810"/>
        <w:gridCol w:w="2809"/>
        <w:gridCol w:w="2599"/>
        <w:gridCol w:w="2953"/>
        <w:gridCol w:w="38"/>
      </w:tblGrid>
      <w:tr w:rsidR="001A1FA4" w:rsidRPr="00BC5A7A" w:rsidTr="008A3680">
        <w:trPr>
          <w:trHeight w:val="703"/>
        </w:trPr>
        <w:tc>
          <w:tcPr>
            <w:tcW w:w="13751" w:type="dxa"/>
            <w:gridSpan w:val="6"/>
          </w:tcPr>
          <w:p w:rsidR="00A9362E" w:rsidRPr="00BC5A7A" w:rsidRDefault="001A1FA4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CORTE CONSTITUCIONAL</w:t>
            </w:r>
            <w:r w:rsidR="00A9362E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SENTENCIA T-154/13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  <w:p w:rsidR="00ED47D4" w:rsidRPr="00BC5A7A" w:rsidRDefault="00A9362E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ACCION DE TUTELA PARA LA PROTECION </w:t>
            </w:r>
            <w:r w:rsidR="006C7B50" w:rsidRPr="00BC5A7A">
              <w:rPr>
                <w:rFonts w:cs="Arial"/>
                <w:b/>
                <w:color w:val="FF0000"/>
                <w:sz w:val="20"/>
                <w:szCs w:val="20"/>
              </w:rPr>
              <w:t>D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E </w:t>
            </w:r>
            <w:r w:rsidR="006C7B50" w:rsidRPr="00BC5A7A">
              <w:rPr>
                <w:rFonts w:cs="Arial"/>
                <w:b/>
                <w:color w:val="FF0000"/>
                <w:sz w:val="20"/>
                <w:szCs w:val="20"/>
              </w:rPr>
              <w:t>D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ERECHOS COLECTIVOS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  <w:p w:rsidR="006C7B50" w:rsidRPr="00BC5A7A" w:rsidRDefault="001A1FA4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ACCIONANTE:</w:t>
            </w:r>
            <w:r w:rsidR="006C7B50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ORLANDO JOSÉ MORALES RAMOS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  <w:p w:rsidR="006C7B50" w:rsidRPr="00BC5A7A" w:rsidRDefault="001A1FA4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ACCIONADO:</w:t>
            </w:r>
            <w:r w:rsidR="006C7B50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SOCIEDAD DRUMMOND LTDA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  <w:r w:rsidR="006C7B50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6C7B50" w:rsidRPr="00BC5A7A" w:rsidRDefault="006C7B50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REFERENCIA EXPEDIENTE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: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T-2550727</w:t>
            </w:r>
          </w:p>
          <w:p w:rsidR="00A9362E" w:rsidRPr="00BC5A7A" w:rsidRDefault="006C7B50" w:rsidP="00557401">
            <w:pPr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BOGOTA D.C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VEINTIUNO (21) DE MARZO DOS MIL TRECE (2013)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1A1FA4" w:rsidRPr="00BC5A7A" w:rsidTr="008A36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450"/>
        </w:trPr>
        <w:tc>
          <w:tcPr>
            <w:tcW w:w="13751" w:type="dxa"/>
            <w:gridSpan w:val="5"/>
          </w:tcPr>
          <w:p w:rsidR="00A9362E" w:rsidRPr="00BC5A7A" w:rsidRDefault="00A9362E" w:rsidP="001A1FA4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PROBLEMA JURIDICO: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>e gener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>a un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a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pugna jurídica a causa de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>l cumplimiento de unas disposiciones legales por parte de las empresas mineras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en este caso DRUMMOND LTD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, que da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por hecho que basta con 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>consumar</w:t>
            </w:r>
            <w:r w:rsidR="005927CB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correctamente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la normativa jurídica que se les ha </w:t>
            </w:r>
            <w:r w:rsidR="00B60F09" w:rsidRPr="00BC5A7A">
              <w:rPr>
                <w:rFonts w:cs="Arial"/>
                <w:b/>
                <w:color w:val="FF0000"/>
                <w:sz w:val="20"/>
                <w:szCs w:val="20"/>
              </w:rPr>
              <w:t>señalado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para explotar indiscriminadamente los suelos col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>ombianos</w:t>
            </w:r>
            <w:r w:rsidR="005927CB" w:rsidRPr="00BC5A7A"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sin tener </w:t>
            </w:r>
            <w:r w:rsidR="00763030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presente 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que la constitución </w:t>
            </w:r>
            <w:r w:rsidR="00D22948" w:rsidRPr="00BC5A7A">
              <w:rPr>
                <w:rFonts w:cs="Arial"/>
                <w:b/>
                <w:color w:val="FF0000"/>
                <w:sz w:val="20"/>
                <w:szCs w:val="20"/>
              </w:rPr>
              <w:t>de 1991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subordina la propiedad privada, la</w:t>
            </w:r>
            <w:r w:rsidR="00BC5A7A">
              <w:rPr>
                <w:rFonts w:cs="Arial"/>
                <w:b/>
                <w:color w:val="FF0000"/>
                <w:sz w:val="20"/>
                <w:szCs w:val="20"/>
              </w:rPr>
              <w:t xml:space="preserve"> actividad económica</w:t>
            </w:r>
            <w:r w:rsidR="00D042F1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al bien común, al interés social y a la preservación del ambiente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1A1FA4" w:rsidRPr="00BC5A7A" w:rsidTr="00D10480">
        <w:trPr>
          <w:trHeight w:val="536"/>
        </w:trPr>
        <w:tc>
          <w:tcPr>
            <w:tcW w:w="2553" w:type="dxa"/>
          </w:tcPr>
          <w:p w:rsidR="00A9362E" w:rsidRPr="00BC5A7A" w:rsidRDefault="00CE62D1" w:rsidP="007F1F09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HECHOS</w:t>
            </w:r>
          </w:p>
        </w:tc>
        <w:tc>
          <w:tcPr>
            <w:tcW w:w="2835" w:type="dxa"/>
          </w:tcPr>
          <w:p w:rsidR="00A9362E" w:rsidRPr="00BC5A7A" w:rsidRDefault="00BC5A7A" w:rsidP="00BC5A7A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       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RESPUESTA DE:</w:t>
            </w:r>
          </w:p>
          <w:p w:rsidR="00BC5A7A" w:rsidRPr="00BC5A7A" w:rsidRDefault="00BC5A7A" w:rsidP="00BC5A7A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-ACCIONADA.</w:t>
            </w:r>
          </w:p>
          <w:p w:rsidR="00BC5A7A" w:rsidRDefault="00BC5A7A" w:rsidP="00BC5A7A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-MINISTERIO DE VIVIENDA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.</w:t>
            </w:r>
          </w:p>
          <w:p w:rsidR="00BC5A7A" w:rsidRPr="00BC5A7A" w:rsidRDefault="00BC5A7A" w:rsidP="00BC5A7A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      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-CORPOCESAR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9362E" w:rsidRPr="00BC5A7A" w:rsidRDefault="00BC5A7A" w:rsidP="00855384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SENTENCIA</w:t>
            </w:r>
            <w:r w:rsidR="005845EB"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55384">
              <w:rPr>
                <w:rFonts w:cs="Arial"/>
                <w:b/>
                <w:bCs/>
                <w:color w:val="FF0000"/>
                <w:sz w:val="20"/>
                <w:szCs w:val="20"/>
              </w:rPr>
              <w:t>TRIBUNAL SUPERIOR DE VALLEDUPAR.</w:t>
            </w:r>
          </w:p>
        </w:tc>
        <w:tc>
          <w:tcPr>
            <w:tcW w:w="2551" w:type="dxa"/>
          </w:tcPr>
          <w:p w:rsidR="00A9362E" w:rsidRPr="00BC5A7A" w:rsidRDefault="005845EB" w:rsidP="007F1F09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CONSIDERACIONES DE LA CORTE CONSTITUCIONAL</w:t>
            </w:r>
          </w:p>
        </w:tc>
        <w:tc>
          <w:tcPr>
            <w:tcW w:w="2977" w:type="dxa"/>
            <w:gridSpan w:val="2"/>
          </w:tcPr>
          <w:p w:rsidR="00A9362E" w:rsidRPr="00BC5A7A" w:rsidRDefault="00EA5606" w:rsidP="007F1F09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FALL</w:t>
            </w:r>
            <w:r w:rsidR="001C37F4" w:rsidRPr="00BC5A7A">
              <w:rPr>
                <w:rFonts w:cs="Arial"/>
                <w:b/>
                <w:color w:val="FF0000"/>
                <w:sz w:val="20"/>
                <w:szCs w:val="20"/>
              </w:rPr>
              <w:t>O</w:t>
            </w:r>
          </w:p>
        </w:tc>
      </w:tr>
      <w:tr w:rsidR="001A1FA4" w:rsidRPr="00BC5A7A" w:rsidTr="00D10480">
        <w:trPr>
          <w:trHeight w:val="4420"/>
        </w:trPr>
        <w:tc>
          <w:tcPr>
            <w:tcW w:w="2553" w:type="dxa"/>
          </w:tcPr>
          <w:p w:rsidR="00A9362E" w:rsidRPr="00BC5A7A" w:rsidRDefault="001A1FA4" w:rsidP="00557401">
            <w:pPr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t>L</w:t>
            </w:r>
            <w:r w:rsidR="00BC5A7A" w:rsidRPr="00BC5A7A">
              <w:rPr>
                <w:rFonts w:cs="Arial"/>
                <w:color w:val="FF0000"/>
                <w:sz w:val="20"/>
                <w:szCs w:val="20"/>
              </w:rPr>
              <w:t xml:space="preserve">a finca 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>Los C</w:t>
            </w:r>
            <w:r w:rsidR="00BC5A7A" w:rsidRPr="00BC5A7A">
              <w:rPr>
                <w:rFonts w:cs="Arial"/>
                <w:color w:val="FF0000"/>
                <w:sz w:val="20"/>
                <w:szCs w:val="20"/>
              </w:rPr>
              <w:t xml:space="preserve">erros 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ubicada en el corregimiento </w:t>
            </w:r>
            <w:r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La Loma, municipio El Paso, </w:t>
            </w:r>
            <w:r w:rsidR="00DF2E58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D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epartamento de</w:t>
            </w:r>
            <w:r w:rsidR="00DF2E58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l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Cesar, se </w:t>
            </w:r>
            <w:r w:rsidR="007F1F09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encuentra aproximadamente a 300 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metros de distancia de la mina de carbón </w:t>
            </w:r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“</w:t>
            </w:r>
            <w:proofErr w:type="spellStart"/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Pribbenow</w:t>
            </w:r>
            <w:proofErr w:type="spellEnd"/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”</w:t>
            </w:r>
            <w:r w:rsidR="00CE62D1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BC5A7A" w:rsidRPr="00BC5A7A">
              <w:rPr>
                <w:rFonts w:cs="Arial"/>
                <w:color w:val="FF0000"/>
                <w:sz w:val="20"/>
                <w:szCs w:val="20"/>
              </w:rPr>
              <w:t xml:space="preserve">de 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propiedad de la empresa  </w:t>
            </w:r>
            <w:r w:rsidR="00CE62D1" w:rsidRPr="00BC5A7A">
              <w:rPr>
                <w:rFonts w:cs="Arial"/>
                <w:color w:val="FF0000"/>
                <w:sz w:val="20"/>
                <w:szCs w:val="20"/>
              </w:rPr>
              <w:t>DRU</w:t>
            </w:r>
            <w:r w:rsidR="00CE6E56" w:rsidRPr="00BC5A7A">
              <w:rPr>
                <w:rFonts w:cs="Arial"/>
                <w:color w:val="FF0000"/>
                <w:sz w:val="20"/>
                <w:szCs w:val="20"/>
              </w:rPr>
              <w:t>MMOND LTD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>.</w:t>
            </w:r>
            <w:r w:rsidR="00CE62D1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la</w:t>
            </w:r>
            <w:proofErr w:type="gramEnd"/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cual se explota </w:t>
            </w:r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“indiscriminadamente y sin control ambiental alguno”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, ya que los </w:t>
            </w:r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“trabajos de minería se llev</w:t>
            </w:r>
            <w:r w:rsidR="007F1F09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an a cabo las 24 horas del día”.</w:t>
            </w:r>
          </w:p>
          <w:p w:rsidR="007F1F09" w:rsidRPr="00BC5A7A" w:rsidRDefault="00CE6E56" w:rsidP="00557401">
            <w:pPr>
              <w:rPr>
                <w:rFonts w:cs="Arial"/>
                <w:color w:val="FF0000"/>
                <w:sz w:val="20"/>
                <w:szCs w:val="20"/>
                <w:lang w:val="es-ES_tradnl"/>
              </w:rPr>
            </w:pPr>
            <w:r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El actor a</w:t>
            </w:r>
            <w:r w:rsidR="001A1FA4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severa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que</w:t>
            </w:r>
            <w:r w:rsidR="001A1FA4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la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anterior </w:t>
            </w:r>
            <w:r w:rsidR="001A1FA4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situación 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genera</w:t>
            </w:r>
            <w:r w:rsidR="007F1F09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:</w:t>
            </w:r>
          </w:p>
          <w:p w:rsidR="00BC5A7A" w:rsidRPr="00BC5A7A" w:rsidRDefault="007F1F09" w:rsidP="007F1F0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  <w:lang w:val="es-ES_tradnl"/>
              </w:rPr>
              <w:t>i)</w:t>
            </w:r>
            <w:r w:rsidR="001A1FA4" w:rsidRPr="00BC5A7A">
              <w:rPr>
                <w:rFonts w:cs="Arial"/>
                <w:b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1A1FA4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>Ruido</w:t>
            </w:r>
            <w:r w:rsidR="00CE62D1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CE62D1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“insoportable</w:t>
            </w:r>
            <w:r w:rsidR="002646FE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2646FE" w:rsidRPr="00BC5A7A">
              <w:rPr>
                <w:rFonts w:cs="Arial"/>
                <w:b/>
                <w:color w:val="FF0000"/>
                <w:sz w:val="20"/>
                <w:szCs w:val="20"/>
                <w:lang w:val="es-ES_tradnl"/>
              </w:rPr>
              <w:t xml:space="preserve">ii) </w:t>
            </w:r>
            <w:r w:rsidR="002646FE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“</w:t>
            </w:r>
            <w:r w:rsidR="001A1FA4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P</w:t>
            </w:r>
            <w:r w:rsidR="002646FE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 xml:space="preserve">olvillo y material </w:t>
            </w:r>
            <w:proofErr w:type="spellStart"/>
            <w:r w:rsidR="002646FE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>particulado</w:t>
            </w:r>
            <w:proofErr w:type="spellEnd"/>
            <w:r w:rsidR="002646FE" w:rsidRPr="00BC5A7A"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  <w:t xml:space="preserve">” </w:t>
            </w:r>
            <w:r w:rsidR="002646FE" w:rsidRPr="00BC5A7A">
              <w:rPr>
                <w:rFonts w:cs="Arial"/>
                <w:b/>
                <w:color w:val="FF0000"/>
                <w:sz w:val="20"/>
                <w:szCs w:val="20"/>
                <w:lang w:val="es-ES_tradnl"/>
              </w:rPr>
              <w:t>iii)</w:t>
            </w:r>
            <w:r w:rsidR="001A1FA4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 A</w:t>
            </w:r>
            <w:r w:rsidR="002646FE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t xml:space="preserve">fecciones a la salud de quienes residen </w:t>
            </w:r>
            <w:r w:rsidR="002646FE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lastRenderedPageBreak/>
              <w:t>en dicho lugar, en especial los niños.</w:t>
            </w:r>
            <w:r w:rsidR="002646FE" w:rsidRPr="00BC5A7A">
              <w:rPr>
                <w:rFonts w:cs="Arial"/>
                <w:color w:val="FF0000"/>
                <w:sz w:val="20"/>
                <w:szCs w:val="20"/>
                <w:lang w:val="es-ES_tradnl"/>
              </w:rPr>
              <w:br/>
            </w:r>
          </w:p>
          <w:p w:rsidR="00CE62D1" w:rsidRPr="00BC5A7A" w:rsidRDefault="002646FE" w:rsidP="007F1F09">
            <w:pPr>
              <w:rPr>
                <w:rFonts w:cs="Arial"/>
                <w:i/>
                <w:color w:val="FF0000"/>
                <w:sz w:val="20"/>
                <w:szCs w:val="20"/>
                <w:lang w:val="es-ES_tradnl"/>
              </w:rPr>
            </w:pPr>
            <w:r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Señaló que las dos fuentes de agua que utilizan para consumo y desarrollo de sus actividades diarias, están contaminadas </w:t>
            </w:r>
            <w:r w:rsidRPr="00BC5A7A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“con cargas de sólidos no determinados que determinan un aspecto, olor y sabor indeseables”</w:t>
            </w:r>
            <w:r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, en su sentir, producto de la explotación de la mina.</w:t>
            </w:r>
          </w:p>
          <w:p w:rsidR="002646FE" w:rsidRPr="00BC5A7A" w:rsidRDefault="002646FE" w:rsidP="00557401">
            <w:pPr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Solicitó ordenar a la compañía accionada </w:t>
            </w:r>
            <w:r w:rsidRPr="00BC5A7A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“detener, parar o suspender”</w:t>
            </w:r>
            <w:r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la explotación en el sector de la mina </w:t>
            </w:r>
            <w:r w:rsidRPr="00BC5A7A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“Pribbenow</w:t>
            </w:r>
            <w:r w:rsidR="00CE6E56" w:rsidRPr="00BC5A7A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2835" w:type="dxa"/>
          </w:tcPr>
          <w:p w:rsidR="00BC5A7A" w:rsidRDefault="005845EB" w:rsidP="00BC5A7A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lastRenderedPageBreak/>
              <w:t xml:space="preserve">RESPUESTA DE </w:t>
            </w:r>
            <w:r w:rsidR="001C37F4" w:rsidRPr="00BC5A7A">
              <w:rPr>
                <w:rFonts w:cs="Arial"/>
                <w:b/>
                <w:color w:val="FF0000"/>
                <w:sz w:val="20"/>
                <w:szCs w:val="20"/>
              </w:rPr>
              <w:t>DRUMMOND LTD.</w:t>
            </w:r>
          </w:p>
          <w:p w:rsidR="00A9362E" w:rsidRPr="00BC5A7A" w:rsidRDefault="0085548F" w:rsidP="00557401">
            <w:pPr>
              <w:rPr>
                <w:rFonts w:cs="Arial"/>
                <w:i/>
                <w:color w:val="FF0000"/>
                <w:sz w:val="20"/>
                <w:szCs w:val="20"/>
                <w:lang w:val="es-MX"/>
              </w:rPr>
            </w:pPr>
            <w:r w:rsidRPr="0085548F">
              <w:rPr>
                <w:rFonts w:cs="Arial"/>
                <w:b/>
                <w:bCs/>
                <w:color w:val="FF0000"/>
                <w:sz w:val="20"/>
                <w:szCs w:val="20"/>
                <w:lang w:val="es-ES_tradnl"/>
              </w:rPr>
              <w:t>.</w:t>
            </w:r>
            <w:r>
              <w:rPr>
                <w:rFonts w:cs="Arial"/>
                <w:bCs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7F1F09" w:rsidRPr="00BC5A7A">
              <w:rPr>
                <w:rFonts w:cs="Arial"/>
                <w:bCs/>
                <w:color w:val="FF0000"/>
                <w:sz w:val="20"/>
                <w:szCs w:val="20"/>
                <w:lang w:val="es-ES_tradnl"/>
              </w:rPr>
              <w:t>J</w:t>
            </w:r>
            <w:r w:rsidR="002F3735" w:rsidRPr="00BC5A7A">
              <w:rPr>
                <w:rFonts w:cs="Arial"/>
                <w:bCs/>
                <w:color w:val="FF0000"/>
                <w:sz w:val="20"/>
                <w:szCs w:val="20"/>
                <w:lang w:val="es-ES_tradnl"/>
              </w:rPr>
              <w:t>ulio 16 de 2009</w:t>
            </w:r>
            <w:r>
              <w:rPr>
                <w:rFonts w:cs="Arial"/>
                <w:bCs/>
                <w:color w:val="FF0000"/>
                <w:sz w:val="20"/>
                <w:szCs w:val="20"/>
                <w:lang w:val="es-ES_tradnl"/>
              </w:rPr>
              <w:t>, la compañía es</w:t>
            </w:r>
            <w:r w:rsidR="00BE0546" w:rsidRPr="00BC5A7A"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t xml:space="preserve"> </w:t>
            </w:r>
            <w:r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t>“</w:t>
            </w:r>
            <w:r w:rsidR="00BE0546" w:rsidRPr="00BC5A7A"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t xml:space="preserve">fiel cumplidora de la licencia ambiental otorgada, lo cual se puede demostrar con el hecho de que la empresa y las autoridades ambientales realizan monitoreos y mediciones permanentes de material </w:t>
            </w:r>
            <w:proofErr w:type="spellStart"/>
            <w:r w:rsidR="00BE0546" w:rsidRPr="00BC5A7A"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t>particulado</w:t>
            </w:r>
            <w:proofErr w:type="spellEnd"/>
            <w:r w:rsidR="00BE0546" w:rsidRPr="00BC5A7A"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t xml:space="preserve"> en el aire, los cuales se encuentran dentro de los límites permisibles, se realizan análisis y seguimientos a las aguas subterráneas, se corren modelos hidrológicos, al igual que se han efectuado estudios de medición de ruido y vibraciones, los cuales siempre han arrojado resultados óptimos de cumplimiento de los </w:t>
            </w:r>
            <w:r w:rsidR="00BE0546" w:rsidRPr="00BC5A7A">
              <w:rPr>
                <w:rFonts w:cs="Arial"/>
                <w:i/>
                <w:color w:val="FF0000"/>
                <w:sz w:val="20"/>
                <w:szCs w:val="20"/>
                <w:lang w:val="es-MX"/>
              </w:rPr>
              <w:lastRenderedPageBreak/>
              <w:t>estándares existentes”</w:t>
            </w:r>
          </w:p>
          <w:p w:rsidR="0085548F" w:rsidRDefault="0085548F" w:rsidP="0085548F">
            <w:pPr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RESPUESTA DEL</w:t>
            </w:r>
            <w:r w:rsidR="007F1F09"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MINISTERIO DE AMBIENTE, VIVIENDA Y DESARROLLO TERRITORIAL.</w:t>
            </w:r>
          </w:p>
          <w:p w:rsidR="00BE0546" w:rsidRPr="00BC5A7A" w:rsidRDefault="0085548F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85548F">
              <w:rPr>
                <w:rFonts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60347D" w:rsidRPr="00BC5A7A">
              <w:rPr>
                <w:rFonts w:cs="Arial"/>
                <w:bCs/>
                <w:color w:val="FF0000"/>
                <w:sz w:val="20"/>
                <w:szCs w:val="20"/>
              </w:rPr>
              <w:t>A</w:t>
            </w:r>
            <w:r w:rsidR="002F3735" w:rsidRPr="00BC5A7A">
              <w:rPr>
                <w:rFonts w:cs="Arial"/>
                <w:bCs/>
                <w:color w:val="FF0000"/>
                <w:sz w:val="20"/>
                <w:szCs w:val="20"/>
              </w:rPr>
              <w:t>gosto 26 de 2009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, el apoderado del</w:t>
            </w:r>
            <w:r w:rsidR="00BE0546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Ministerio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  <w:r w:rsidR="0008555D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ahora Ministerio de Ambiente y Desarrollo Sostenible</w:t>
            </w:r>
            <w:r w:rsidR="00BE0546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expresó que de los resultados obtenidos en la red de monitoreo, frente a la norma sobre calidad del aire, Resolución 601 de 2006</w:t>
            </w:r>
            <w:r w:rsidR="0008555D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(Por la cual se establece la Norma de Calidad del Aire o Nivel de Inmisión, para todo el territorio nacional en condiciones de referencia)</w:t>
            </w:r>
            <w:r w:rsidR="00BE0546" w:rsidRPr="00BC5A7A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  <w:r w:rsidR="0008555D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BE0546" w:rsidRPr="00BC5A7A">
              <w:rPr>
                <w:rFonts w:cs="Arial"/>
                <w:bCs/>
                <w:color w:val="FF0000"/>
                <w:sz w:val="20"/>
                <w:szCs w:val="20"/>
              </w:rPr>
              <w:t>se concluye que las estaciones de La Aurora, Las Palmitas y Boquerón cumplen el promedio anual establecido en tal preceptiva.</w:t>
            </w:r>
          </w:p>
          <w:p w:rsidR="00BE0546" w:rsidRPr="00BC5A7A" w:rsidRDefault="00BE0546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Cs/>
                <w:color w:val="FF0000"/>
                <w:sz w:val="20"/>
                <w:szCs w:val="20"/>
              </w:rPr>
              <w:t>Tratándose de la emisión de ruido ge</w:t>
            </w:r>
            <w:r w:rsidR="0085548F">
              <w:rPr>
                <w:rFonts w:cs="Arial"/>
                <w:bCs/>
                <w:color w:val="FF0000"/>
                <w:sz w:val="20"/>
                <w:szCs w:val="20"/>
              </w:rPr>
              <w:t>nerada por la operación minera l</w:t>
            </w:r>
            <w:r w:rsidRPr="00BC5A7A">
              <w:rPr>
                <w:rFonts w:cs="Arial"/>
                <w:bCs/>
                <w:color w:val="FF0000"/>
                <w:sz w:val="20"/>
                <w:szCs w:val="20"/>
              </w:rPr>
              <w:t>os niveles de ruido medidos se encuentran por debajo de los establecidos en la Resolución 627 de 2006</w:t>
            </w:r>
            <w:r w:rsidR="0085548F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2F3735" w:rsidRPr="00BC5A7A">
              <w:rPr>
                <w:rFonts w:cs="Arial"/>
                <w:bCs/>
                <w:color w:val="FF0000"/>
                <w:sz w:val="20"/>
                <w:szCs w:val="20"/>
              </w:rPr>
              <w:t>(</w:t>
            </w:r>
            <w:r w:rsidR="0085548F">
              <w:rPr>
                <w:rStyle w:val="Textoennegrita"/>
                <w:rFonts w:cs="Arial"/>
                <w:b w:val="0"/>
                <w:color w:val="FF0000"/>
                <w:sz w:val="20"/>
                <w:szCs w:val="20"/>
              </w:rPr>
              <w:t>P</w:t>
            </w:r>
            <w:r w:rsidR="002F3735" w:rsidRPr="00BC5A7A">
              <w:rPr>
                <w:rStyle w:val="Textoennegrita"/>
                <w:rFonts w:cs="Arial"/>
                <w:b w:val="0"/>
                <w:color w:val="FF0000"/>
                <w:sz w:val="20"/>
                <w:szCs w:val="20"/>
              </w:rPr>
              <w:t>or la cual se establece la norma nacional de emisión de ruido y</w:t>
            </w:r>
            <w:r w:rsidR="002F3735" w:rsidRPr="00BC5A7A">
              <w:rPr>
                <w:rStyle w:val="Textoennegrita"/>
                <w:rFonts w:cs="Arial"/>
                <w:color w:val="FF0000"/>
                <w:sz w:val="20"/>
                <w:szCs w:val="20"/>
              </w:rPr>
              <w:t xml:space="preserve"> </w:t>
            </w:r>
            <w:r w:rsidR="002F3735" w:rsidRPr="00BC5A7A">
              <w:rPr>
                <w:rStyle w:val="Textoennegrita"/>
                <w:rFonts w:cs="Arial"/>
                <w:b w:val="0"/>
                <w:color w:val="FF0000"/>
                <w:sz w:val="20"/>
                <w:szCs w:val="20"/>
              </w:rPr>
              <w:t>ruido ambiental)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C5A7A">
              <w:rPr>
                <w:rFonts w:cs="Arial"/>
                <w:bCs/>
                <w:color w:val="FF0000"/>
                <w:sz w:val="20"/>
                <w:szCs w:val="20"/>
              </w:rPr>
              <w:t>para una zona de uso industrial, como la minera.</w:t>
            </w:r>
          </w:p>
          <w:p w:rsidR="00D10480" w:rsidRDefault="00D10480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:rsidR="0085548F" w:rsidRDefault="0085548F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:rsidR="0085548F" w:rsidRDefault="0085548F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:rsidR="0085548F" w:rsidRDefault="0085548F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:rsidR="0085548F" w:rsidRPr="00BC5A7A" w:rsidRDefault="0085548F" w:rsidP="00557401">
            <w:pPr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  <w:p w:rsidR="0085548F" w:rsidRDefault="007F1F09" w:rsidP="0085548F">
            <w:pPr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RESPUESTA DE LA CORPORACIÓN AUTÓNOMA REGIONAL DEL CESAR, CORPOCESAR.</w:t>
            </w:r>
          </w:p>
          <w:p w:rsidR="00FC34F3" w:rsidRPr="00BC5A7A" w:rsidRDefault="0085548F" w:rsidP="00DB2D82">
            <w:pPr>
              <w:jc w:val="both"/>
              <w:rPr>
                <w:rFonts w:eastAsia="Times New Roman" w:cs="Arial"/>
                <w:color w:val="FF0000"/>
                <w:sz w:val="20"/>
                <w:szCs w:val="20"/>
                <w:lang w:eastAsia="es-CO"/>
              </w:rPr>
            </w:pPr>
            <w:r w:rsidRPr="0085548F">
              <w:rPr>
                <w:rFonts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83127E" w:rsidRPr="00BC5A7A">
              <w:rPr>
                <w:rFonts w:cs="Arial"/>
                <w:bCs/>
                <w:color w:val="FF0000"/>
                <w:sz w:val="20"/>
                <w:szCs w:val="20"/>
              </w:rPr>
              <w:t>A</w:t>
            </w:r>
            <w:r w:rsidR="002F3735" w:rsidRPr="00BC5A7A">
              <w:rPr>
                <w:rFonts w:cs="Arial"/>
                <w:bCs/>
                <w:color w:val="FF0000"/>
                <w:sz w:val="20"/>
                <w:szCs w:val="20"/>
              </w:rPr>
              <w:t>gosto 27 de 2009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. E</w:t>
            </w:r>
            <w:r w:rsidR="00FC34F3" w:rsidRPr="00BC5A7A">
              <w:rPr>
                <w:rFonts w:cs="Arial"/>
                <w:bCs/>
                <w:color w:val="FF0000"/>
                <w:sz w:val="20"/>
                <w:szCs w:val="20"/>
              </w:rPr>
              <w:t>l apoderado de la referida entidad explicó que mediante Resolución 0295 de 2007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C2166B" w:rsidRPr="00BC5A7A">
              <w:rPr>
                <w:rFonts w:cs="Arial"/>
                <w:bCs/>
                <w:color w:val="FF0000"/>
                <w:sz w:val="20"/>
                <w:szCs w:val="20"/>
              </w:rPr>
              <w:t>(</w:t>
            </w:r>
            <w:r w:rsidR="00C2166B" w:rsidRPr="00BC5A7A">
              <w:rPr>
                <w:rFonts w:eastAsia="Times New Roman" w:cs="Arial"/>
                <w:color w:val="FF0000"/>
                <w:sz w:val="20"/>
                <w:szCs w:val="20"/>
                <w:lang w:eastAsia="es-CO"/>
              </w:rPr>
              <w:t>Por la cual se ejerce temporalmente el conocimiento de asuntos asignados a la Corporación Autónoma Regional del Cesar – CORPOCESAR,</w:t>
            </w:r>
            <w:r w:rsidR="00DB2D82">
              <w:rPr>
                <w:rFonts w:eastAsia="Times New Roman" w:cs="Arial"/>
                <w:color w:val="FF0000"/>
                <w:sz w:val="20"/>
                <w:szCs w:val="20"/>
                <w:lang w:eastAsia="es-CO"/>
              </w:rPr>
              <w:t xml:space="preserve"> </w:t>
            </w:r>
            <w:r w:rsidR="00C2166B" w:rsidRPr="00BC5A7A">
              <w:rPr>
                <w:rFonts w:eastAsia="Times New Roman" w:cs="Arial"/>
                <w:color w:val="FF0000"/>
                <w:sz w:val="20"/>
                <w:szCs w:val="20"/>
                <w:lang w:eastAsia="es-CO"/>
              </w:rPr>
              <w:t xml:space="preserve">en virtud de la facultad selectiva y discrecional consagrada en el numeral 16 del  </w:t>
            </w:r>
            <w:r w:rsidR="0083127E" w:rsidRPr="00BC5A7A">
              <w:rPr>
                <w:rFonts w:eastAsia="Times New Roman" w:cs="Arial"/>
                <w:color w:val="FF0000"/>
                <w:sz w:val="20"/>
                <w:szCs w:val="20"/>
                <w:lang w:eastAsia="es-CO"/>
              </w:rPr>
              <w:t>artículo 5 de la Ley 99 de 1993</w:t>
            </w:r>
            <w:r w:rsidR="00C2166B" w:rsidRPr="00BC5A7A">
              <w:rPr>
                <w:rFonts w:cs="Arial"/>
                <w:bCs/>
                <w:color w:val="FF0000"/>
                <w:sz w:val="20"/>
                <w:szCs w:val="20"/>
              </w:rPr>
              <w:t>)</w:t>
            </w:r>
            <w:r w:rsidR="0083127E" w:rsidRPr="00BC5A7A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  <w:r w:rsidR="00DB2D82">
              <w:rPr>
                <w:rFonts w:cs="Arial"/>
                <w:bCs/>
                <w:color w:val="FF0000"/>
                <w:sz w:val="20"/>
                <w:szCs w:val="20"/>
              </w:rPr>
              <w:t xml:space="preserve"> el </w:t>
            </w:r>
            <w:r w:rsidR="00C2166B" w:rsidRPr="00BC5A7A">
              <w:rPr>
                <w:rFonts w:cs="Arial"/>
                <w:bCs/>
                <w:color w:val="FF0000"/>
                <w:sz w:val="20"/>
                <w:szCs w:val="20"/>
              </w:rPr>
              <w:t>antiguamente</w:t>
            </w:r>
            <w:r w:rsidR="00FC34F3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Ministerio de Ambiente, Vivienda y Desarrollo Territorial</w:t>
            </w:r>
            <w:r w:rsidR="00DB2D82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FC34F3" w:rsidRPr="00BC5A7A">
              <w:rPr>
                <w:rFonts w:cs="Arial"/>
                <w:bCs/>
                <w:color w:val="FF0000"/>
                <w:sz w:val="20"/>
                <w:szCs w:val="20"/>
              </w:rPr>
              <w:t>asumió temporalmente el conocimiento de los asuntos asignados a la Corporación, en virtud de la facultad selectiva y discre</w:t>
            </w:r>
            <w:r w:rsidR="00422AEB" w:rsidRPr="00BC5A7A">
              <w:rPr>
                <w:rFonts w:cs="Arial"/>
                <w:bCs/>
                <w:color w:val="FF0000"/>
                <w:sz w:val="20"/>
                <w:szCs w:val="20"/>
              </w:rPr>
              <w:t>cional consagrada en el numeral 1</w:t>
            </w:r>
            <w:r w:rsidR="00FC34F3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 del artículo 14 de la Le</w:t>
            </w:r>
            <w:r w:rsidR="0083127E" w:rsidRPr="00BC5A7A">
              <w:rPr>
                <w:rFonts w:cs="Arial"/>
                <w:bCs/>
                <w:color w:val="FF0000"/>
                <w:sz w:val="20"/>
                <w:szCs w:val="20"/>
              </w:rPr>
              <w:t xml:space="preserve">y 99 de 1993; acorde con dicha </w:t>
            </w:r>
            <w:r w:rsidR="00DB2D82">
              <w:rPr>
                <w:rFonts w:cs="Arial"/>
                <w:bCs/>
                <w:color w:val="FF0000"/>
                <w:sz w:val="20"/>
                <w:szCs w:val="20"/>
              </w:rPr>
              <w:t>R</w:t>
            </w:r>
            <w:r w:rsidR="00FC34F3" w:rsidRPr="00BC5A7A">
              <w:rPr>
                <w:rFonts w:cs="Arial"/>
                <w:bCs/>
                <w:color w:val="FF0000"/>
                <w:sz w:val="20"/>
                <w:szCs w:val="20"/>
              </w:rPr>
              <w:t>esolución</w:t>
            </w:r>
            <w:r w:rsidR="00DB2D82">
              <w:rPr>
                <w:rFonts w:cs="Arial"/>
                <w:bCs/>
                <w:color w:val="FF0000"/>
                <w:sz w:val="20"/>
                <w:szCs w:val="20"/>
              </w:rPr>
              <w:t>.</w:t>
            </w:r>
          </w:p>
          <w:p w:rsidR="00BE0546" w:rsidRPr="00BC5A7A" w:rsidRDefault="00BE0546" w:rsidP="00557401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62E" w:rsidRPr="00BC5A7A" w:rsidRDefault="00DB2D82" w:rsidP="008E2869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Mediante </w:t>
            </w:r>
            <w:r w:rsidR="007F1F09" w:rsidRPr="00BC5A7A">
              <w:rPr>
                <w:rFonts w:cs="Arial"/>
                <w:color w:val="FF0000"/>
                <w:sz w:val="20"/>
                <w:szCs w:val="20"/>
              </w:rPr>
              <w:t>fallo de S</w:t>
            </w:r>
            <w:r w:rsidR="00FC34F3" w:rsidRPr="00BC5A7A">
              <w:rPr>
                <w:rFonts w:cs="Arial"/>
                <w:color w:val="FF0000"/>
                <w:sz w:val="20"/>
                <w:szCs w:val="20"/>
              </w:rPr>
              <w:t xml:space="preserve">eptiembre 2 de 2009, la Sala Civil-Familia-Laboral del </w:t>
            </w:r>
            <w:r w:rsidR="00FC34F3"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Tribunal Superior de Valledupar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negó el amparo argumentando que:</w:t>
            </w:r>
            <w:r w:rsidR="00FC34F3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FC34F3" w:rsidRPr="00BC5A7A">
              <w:rPr>
                <w:rFonts w:cs="Arial"/>
                <w:i/>
                <w:color w:val="FF0000"/>
                <w:sz w:val="20"/>
                <w:szCs w:val="20"/>
              </w:rPr>
              <w:t>“no está expresamente demostrado en el expediente que la empresa Drummond Ltd. esté vulnerando, amenazando o poniendo en serio peligro un derecho constitucional fundamental, por el contrario, el concepto del Ministerio de Ambiente, Vivienda y Desarrollo Territorial, indica que la explotación de carbón en esa mina se adelanta bajo control, y cumple con los programas de manejo ambiental tendientes a minimizar los impactos ambientales nocivos</w:t>
            </w:r>
            <w:r>
              <w:rPr>
                <w:rFonts w:cs="Arial"/>
                <w:i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551" w:type="dxa"/>
          </w:tcPr>
          <w:p w:rsidR="00DB2D82" w:rsidRDefault="007F1F09" w:rsidP="00DB2D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PROCEDENCIA DE LA ACCIÓN DE TUTELA PARA LA PROTECCIÓN DE DERECHOS COLECTIVOS.</w:t>
            </w:r>
          </w:p>
          <w:p w:rsidR="00A9362E" w:rsidRPr="00BC5A7A" w:rsidRDefault="006E6DA1" w:rsidP="00DB2D82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La acción de tutela no </w:t>
            </w:r>
            <w:r w:rsidR="00DB2D82">
              <w:rPr>
                <w:rFonts w:cs="Arial"/>
                <w:color w:val="FF0000"/>
                <w:sz w:val="20"/>
                <w:szCs w:val="20"/>
              </w:rPr>
              <w:t>p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rocede, por regla general, para la protección de los derechos colectivos, frente a los cuales el ordenamiento jurídico colombiano ha 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 xml:space="preserve">previsto mecanismos </w:t>
            </w:r>
            <w:proofErr w:type="spellStart"/>
            <w:r w:rsidR="008E2869">
              <w:rPr>
                <w:rFonts w:cs="Arial"/>
                <w:color w:val="FF0000"/>
                <w:sz w:val="20"/>
                <w:szCs w:val="20"/>
              </w:rPr>
              <w:t>especiales,f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>undamentalmente</w:t>
            </w:r>
            <w:proofErr w:type="spellEnd"/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la acción popular, los </w:t>
            </w:r>
            <w:r w:rsidR="002E1AFA" w:rsidRPr="00BC5A7A">
              <w:rPr>
                <w:rFonts w:cs="Arial"/>
                <w:color w:val="FF0000"/>
                <w:sz w:val="20"/>
                <w:szCs w:val="20"/>
              </w:rPr>
              <w:t>jueces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deben ser especialmente cuidadosos y constatar si se presenta conexidad con la afectación de derechos fundamentales</w:t>
            </w:r>
            <w:r w:rsidR="002E1AFA" w:rsidRPr="00BC5A7A">
              <w:rPr>
                <w:rFonts w:cs="Arial"/>
                <w:color w:val="FF0000"/>
                <w:sz w:val="20"/>
                <w:szCs w:val="20"/>
              </w:rPr>
              <w:t xml:space="preserve"> como la vida, la salud, intimidad familiar</w:t>
            </w:r>
            <w:r w:rsidR="006E66AD" w:rsidRPr="00BC5A7A">
              <w:rPr>
                <w:rFonts w:cs="Arial"/>
                <w:color w:val="FF0000"/>
                <w:sz w:val="20"/>
                <w:szCs w:val="20"/>
              </w:rPr>
              <w:t xml:space="preserve"> y  con el derecho de rango constitucional a un ambiente </w:t>
            </w:r>
            <w:r w:rsidR="006E66AD" w:rsidRPr="00BC5A7A">
              <w:rPr>
                <w:rFonts w:cs="Arial"/>
                <w:color w:val="FF0000"/>
                <w:sz w:val="20"/>
                <w:szCs w:val="20"/>
              </w:rPr>
              <w:lastRenderedPageBreak/>
              <w:t>sano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en cuanto es trascendente que del atentado contra bienes colectivos se derive también la vulneración o amenaza individual, o a un grupo concreto, como una familia</w:t>
            </w:r>
            <w:r w:rsidR="00DB2D82">
              <w:rPr>
                <w:rFonts w:cs="Arial"/>
                <w:color w:val="FF0000"/>
                <w:sz w:val="20"/>
                <w:szCs w:val="20"/>
              </w:rPr>
              <w:t>.</w:t>
            </w:r>
          </w:p>
          <w:p w:rsidR="00DB2D82" w:rsidRDefault="00DB2D82" w:rsidP="00DB2D82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DB2D82" w:rsidRDefault="008F3B29" w:rsidP="00DB2D8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El d</w:t>
            </w:r>
            <w:r w:rsidRPr="00BC5A7A">
              <w:rPr>
                <w:rFonts w:cs="Arial"/>
                <w:b/>
                <w:bCs/>
                <w:color w:val="FF0000"/>
                <w:sz w:val="20"/>
                <w:szCs w:val="20"/>
              </w:rPr>
              <w:t>erecho a un ambiente sano.</w:t>
            </w:r>
          </w:p>
          <w:p w:rsidR="008F3B29" w:rsidRPr="00BC5A7A" w:rsidRDefault="00DB2D82" w:rsidP="0085538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 partir de la Carta P</w:t>
            </w:r>
            <w:r w:rsidR="008F3B29" w:rsidRPr="00BC5A7A">
              <w:rPr>
                <w:rFonts w:cs="Arial"/>
                <w:color w:val="FF0000"/>
                <w:sz w:val="20"/>
                <w:szCs w:val="20"/>
              </w:rPr>
              <w:t xml:space="preserve">olítica de 1991, y de la suscripción y aprobación de diversos instrumentos trasnacionales, en el 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>ordenamiento jurídico nacional</w:t>
            </w:r>
            <w:r w:rsidR="00855384">
              <w:rPr>
                <w:rFonts w:cs="Arial"/>
                <w:color w:val="FF0000"/>
                <w:sz w:val="20"/>
                <w:szCs w:val="20"/>
              </w:rPr>
              <w:t>,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8F3B29" w:rsidRPr="00BC5A7A">
              <w:rPr>
                <w:rFonts w:cs="Arial"/>
                <w:color w:val="FF0000"/>
                <w:sz w:val="20"/>
                <w:szCs w:val="20"/>
              </w:rPr>
              <w:t>la Corte Constitucional colombiana ha desarrollado ese carácter ecológico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8F3B29" w:rsidRPr="00BC5A7A">
              <w:rPr>
                <w:rFonts w:cs="Arial"/>
                <w:color w:val="FF0000"/>
                <w:sz w:val="20"/>
                <w:szCs w:val="20"/>
              </w:rPr>
              <w:t>de la carta política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 xml:space="preserve"> en sus </w:t>
            </w:r>
            <w:r w:rsidR="00E601EC" w:rsidRPr="00BC5A7A">
              <w:rPr>
                <w:rFonts w:cs="Arial"/>
                <w:color w:val="FF0000"/>
                <w:sz w:val="20"/>
                <w:szCs w:val="20"/>
              </w:rPr>
              <w:t>sentencias,</w:t>
            </w:r>
            <w:r w:rsidR="008F3B29" w:rsidRPr="00BC5A7A">
              <w:rPr>
                <w:rFonts w:cs="Arial"/>
                <w:color w:val="FF0000"/>
                <w:sz w:val="20"/>
                <w:szCs w:val="20"/>
              </w:rPr>
              <w:t xml:space="preserve"> dando carácter fundamental al derecho al ambi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 xml:space="preserve">ente sano, directamente y en </w:t>
            </w:r>
            <w:r w:rsidR="008F3B29" w:rsidRPr="00BC5A7A">
              <w:rPr>
                <w:rFonts w:cs="Arial"/>
                <w:color w:val="FF0000"/>
                <w:sz w:val="20"/>
                <w:szCs w:val="20"/>
              </w:rPr>
              <w:t>conexidad con la vida y la salud</w:t>
            </w:r>
            <w:r w:rsidR="002E4FB0" w:rsidRPr="00BC5A7A">
              <w:rPr>
                <w:rFonts w:cs="Arial"/>
                <w:color w:val="FF0000"/>
                <w:sz w:val="20"/>
                <w:szCs w:val="20"/>
              </w:rPr>
              <w:t>.</w:t>
            </w:r>
          </w:p>
          <w:p w:rsidR="002E4FB0" w:rsidRPr="00BC5A7A" w:rsidRDefault="002E4FB0" w:rsidP="00855384">
            <w:pPr>
              <w:jc w:val="both"/>
              <w:rPr>
                <w:rFonts w:cs="Arial"/>
                <w:iCs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t>En resumen, la conservación d</w:t>
            </w:r>
            <w:r w:rsidRPr="00BC5A7A">
              <w:rPr>
                <w:rFonts w:cs="Arial"/>
                <w:iCs/>
                <w:color w:val="FF0000"/>
                <w:sz w:val="20"/>
                <w:szCs w:val="20"/>
              </w:rPr>
              <w:t>el ambiente no solo es considerada como un asunto de interés general, sino principalmente como un derecho internacional y local de rango constitucional</w:t>
            </w:r>
            <w:r w:rsidR="00B0198E" w:rsidRPr="00BC5A7A">
              <w:rPr>
                <w:rFonts w:cs="Arial"/>
                <w:iCs/>
                <w:color w:val="FF0000"/>
                <w:sz w:val="20"/>
                <w:szCs w:val="20"/>
              </w:rPr>
              <w:t>.</w:t>
            </w:r>
          </w:p>
          <w:p w:rsidR="00B0198E" w:rsidRPr="00BC5A7A" w:rsidRDefault="00B0198E" w:rsidP="0085538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t>La realidad resulta así confrontada con el hipotético cumplimiento de unas</w:t>
            </w:r>
            <w:r w:rsidR="0085538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disposiciones reglamentarias, que no es sustento 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constitucional suficiente para la continuidad, dentro de unas circunstancias que visiblemente no satisfacen la inalienable obligación </w:t>
            </w:r>
            <w:r w:rsidRPr="00BC5A7A">
              <w:rPr>
                <w:rFonts w:cs="Arial"/>
                <w:i/>
                <w:color w:val="FF0000"/>
                <w:sz w:val="20"/>
                <w:szCs w:val="20"/>
              </w:rPr>
              <w:t>“</w:t>
            </w:r>
            <w:r w:rsidRPr="00BC5A7A">
              <w:rPr>
                <w:rFonts w:cs="Arial"/>
                <w:b/>
                <w:i/>
                <w:color w:val="FF0000"/>
                <w:sz w:val="20"/>
                <w:szCs w:val="20"/>
              </w:rPr>
              <w:t>del Estado y de las personas</w:t>
            </w:r>
            <w:r w:rsidRPr="00BC5A7A">
              <w:rPr>
                <w:rFonts w:cs="Arial"/>
                <w:i/>
                <w:color w:val="FF0000"/>
                <w:sz w:val="20"/>
                <w:szCs w:val="20"/>
              </w:rPr>
              <w:t xml:space="preserve">” 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>de proteger la riqueza natural de la Nación de una explotación económica, que por importante y rentable que sea no justifica el deterioro ambiental.</w:t>
            </w:r>
          </w:p>
          <w:p w:rsidR="00B0198E" w:rsidRPr="00BC5A7A" w:rsidRDefault="00B0198E" w:rsidP="008E2869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Recuérdese además que los artículos 58 y 333 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>de la Constitución Política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>, entre otros, subordinan la propiedad, la actividad económica, la libertad de empresa y la iniciativa privada, al bien común, al interés social y a la preservación del ambiente</w:t>
            </w:r>
            <w:r w:rsidR="0085538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8E2869" w:rsidRDefault="00E601EC" w:rsidP="00583CB4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color w:val="FF0000"/>
                <w:sz w:val="20"/>
                <w:szCs w:val="20"/>
              </w:rPr>
              <w:lastRenderedPageBreak/>
              <w:t>Analizado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 xml:space="preserve"> el caso y en mérito de lo expuesto la HONORABLE CORTE</w:t>
            </w:r>
            <w:r w:rsidR="00583CB4">
              <w:rPr>
                <w:rFonts w:cs="Arial"/>
                <w:color w:val="FF0000"/>
                <w:sz w:val="20"/>
                <w:szCs w:val="20"/>
              </w:rPr>
              <w:t xml:space="preserve"> CONSTITUCIONAL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 xml:space="preserve"> resolvió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>:</w:t>
            </w:r>
            <w:r w:rsidR="0061595C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20F77" w:rsidRPr="00BC5A7A" w:rsidRDefault="00020F77" w:rsidP="00583CB4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REVOCAR</w:t>
            </w:r>
            <w:r w:rsidR="007F1F09" w:rsidRPr="00BC5A7A">
              <w:rPr>
                <w:rFonts w:cs="Arial"/>
                <w:color w:val="FF0000"/>
                <w:sz w:val="20"/>
                <w:szCs w:val="20"/>
              </w:rPr>
              <w:t xml:space="preserve"> la sentencia dictada en S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eptiembre 2 de 2009 por la Sala Civil-Familia-Laboral del </w:t>
            </w:r>
            <w:r w:rsidRPr="00BC5A7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Tribunal Superior del Distrito Judicial de Valledupa</w:t>
            </w:r>
            <w:r w:rsidR="007F1F09" w:rsidRPr="00BC5A7A">
              <w:rPr>
                <w:rFonts w:cs="Arial"/>
                <w:color w:val="FF0000"/>
                <w:sz w:val="20"/>
                <w:szCs w:val="20"/>
              </w:rPr>
              <w:t>r y e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>n su lugar, dispuso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t>TUTELAR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los derechos fundamentales del dem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>andante y de su núcleo familiar, como son el derecho</w:t>
            </w:r>
            <w:r w:rsidRPr="00BC5A7A">
              <w:rPr>
                <w:rFonts w:cs="Arial"/>
                <w:color w:val="FF0000"/>
                <w:sz w:val="20"/>
                <w:szCs w:val="20"/>
              </w:rPr>
              <w:t xml:space="preserve"> a la vida, la salud, la intimidad y el ambiente sano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>, simultáneamente a esto</w:t>
            </w:r>
            <w:r w:rsidR="008E2869">
              <w:rPr>
                <w:rFonts w:cs="Arial"/>
                <w:color w:val="FF0000"/>
                <w:sz w:val="20"/>
                <w:szCs w:val="20"/>
              </w:rPr>
              <w:t>,</w:t>
            </w:r>
            <w:r w:rsidR="0061595C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:rsidR="00583CB4" w:rsidRDefault="0061595C" w:rsidP="00583CB4">
            <w:pPr>
              <w:jc w:val="both"/>
              <w:rPr>
                <w:rFonts w:cs="Arial"/>
                <w:color w:val="FF0000"/>
                <w:sz w:val="20"/>
                <w:szCs w:val="20"/>
                <w:lang w:val="es-MX"/>
              </w:rPr>
            </w:pPr>
            <w:r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>ORDENÓ</w:t>
            </w:r>
            <w:r w:rsidR="00020F77"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 xml:space="preserve"> </w:t>
            </w:r>
            <w:r w:rsidR="00020F77" w:rsidRPr="00BC5A7A">
              <w:rPr>
                <w:rFonts w:eastAsia="Batang" w:cs="Arial"/>
                <w:color w:val="FF0000"/>
                <w:sz w:val="20"/>
                <w:szCs w:val="20"/>
              </w:rPr>
              <w:t xml:space="preserve">al 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t xml:space="preserve">Ministro de Ambiente y Desarrollo Sostenible </w:t>
            </w:r>
            <w:r w:rsidR="00020F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>o quien al respecto haga sus veces,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020F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que en el ámbito de sus funciones </w:t>
            </w:r>
            <w:r w:rsidR="008E2869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 </w:t>
            </w:r>
            <w:r w:rsidR="00020F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analice a cabalidad y haga cumplir apropiadamente la preceptiva constitucional colombiana y, en lo </w:t>
            </w:r>
            <w:r w:rsidR="00020F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lastRenderedPageBreak/>
              <w:t>que corresponda, las recomendaciones de la Organización Mundial de la Salud (OMS) y de otros organismos internacionales</w:t>
            </w:r>
            <w:r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, seguido a esto dispuso </w:t>
            </w:r>
            <w:r w:rsidR="00020F77"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 xml:space="preserve">ORDENAR </w:t>
            </w:r>
            <w:r w:rsidR="00020F77" w:rsidRPr="00BC5A7A">
              <w:rPr>
                <w:rFonts w:eastAsia="Batang" w:cs="Arial"/>
                <w:color w:val="FF0000"/>
                <w:sz w:val="20"/>
                <w:szCs w:val="20"/>
              </w:rPr>
              <w:t xml:space="preserve">al 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t xml:space="preserve">Ministerio de Ambiente y Desarrollo Sostenible,  </w:t>
            </w:r>
            <w:r w:rsidR="00020F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>promueva un plan de acción con actividades coordinadas de todas las instituciones que integran el Sistema Nacional Ambiental, con el objetivo de erigir una política nacional integral para optimizar y hacer cumplir prioritariamente la prevención y el control contra la contaminación del aire y del agua causada por la expl</w:t>
            </w:r>
            <w:r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>otación y transporte de carbón</w:t>
            </w:r>
            <w:r w:rsidR="00583CB4">
              <w:rPr>
                <w:rFonts w:cs="Arial"/>
                <w:color w:val="FF0000"/>
                <w:sz w:val="20"/>
                <w:szCs w:val="20"/>
                <w:lang w:val="es-MX"/>
              </w:rPr>
              <w:t>.</w:t>
            </w:r>
            <w:r w:rsidR="00C96A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 </w:t>
            </w:r>
          </w:p>
          <w:p w:rsidR="00583CB4" w:rsidRDefault="00583CB4" w:rsidP="00583CB4">
            <w:pPr>
              <w:jc w:val="both"/>
              <w:rPr>
                <w:rFonts w:eastAsia="Batang"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  <w:lang w:val="es-MX"/>
              </w:rPr>
              <w:t>Así mismo, la Honorable Corte vio</w:t>
            </w:r>
            <w:r w:rsidR="00C96A77" w:rsidRPr="00BC5A7A"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 pertinente</w:t>
            </w:r>
            <w:r>
              <w:rPr>
                <w:rFonts w:cs="Arial"/>
                <w:color w:val="FF0000"/>
                <w:sz w:val="20"/>
                <w:szCs w:val="20"/>
                <w:lang w:val="es-MX"/>
              </w:rPr>
              <w:t xml:space="preserve"> </w:t>
            </w:r>
            <w:r w:rsidR="00020F77"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 xml:space="preserve">SOLICITAR </w:t>
            </w:r>
            <w:r w:rsidR="00020F77" w:rsidRPr="00BC5A7A">
              <w:rPr>
                <w:rFonts w:eastAsia="Batang" w:cs="Arial"/>
                <w:color w:val="FF0000"/>
                <w:sz w:val="20"/>
                <w:szCs w:val="20"/>
              </w:rPr>
              <w:t>al Defensor del Pueblo que, en cumplimiento del artículo 282 de la Constitución Política, particularmente en cuanto a su función 1ª, procure que sean efectivamente ejercidos y defendidos los derechos tutelados mediante esta sentencia</w:t>
            </w:r>
            <w:r w:rsidR="00C96A77" w:rsidRPr="00BC5A7A">
              <w:rPr>
                <w:rFonts w:eastAsia="Batang" w:cs="Arial"/>
                <w:color w:val="FF0000"/>
                <w:sz w:val="20"/>
                <w:szCs w:val="20"/>
              </w:rPr>
              <w:t xml:space="preserve"> y en e</w:t>
            </w:r>
            <w:r>
              <w:rPr>
                <w:rFonts w:eastAsia="Batang" w:cs="Arial"/>
                <w:color w:val="FF0000"/>
                <w:sz w:val="20"/>
                <w:szCs w:val="20"/>
              </w:rPr>
              <w:t>special para mitigar los daños a</w:t>
            </w:r>
            <w:r w:rsidR="00C96A77" w:rsidRPr="00BC5A7A">
              <w:rPr>
                <w:rFonts w:eastAsia="Batang" w:cs="Arial"/>
                <w:color w:val="FF0000"/>
                <w:sz w:val="20"/>
                <w:szCs w:val="20"/>
              </w:rPr>
              <w:t>mbientales ocasionados o posibles</w:t>
            </w:r>
            <w:r>
              <w:rPr>
                <w:rFonts w:eastAsia="Batang" w:cs="Arial"/>
                <w:color w:val="FF0000"/>
                <w:sz w:val="20"/>
                <w:szCs w:val="20"/>
              </w:rPr>
              <w:t>.</w:t>
            </w:r>
          </w:p>
          <w:p w:rsidR="00020F77" w:rsidRPr="00BC5A7A" w:rsidRDefault="00583CB4" w:rsidP="00583CB4">
            <w:pPr>
              <w:jc w:val="both"/>
              <w:rPr>
                <w:rFonts w:eastAsia="Batang" w:cs="Arial"/>
                <w:color w:val="FF0000"/>
                <w:sz w:val="20"/>
                <w:szCs w:val="20"/>
              </w:rPr>
            </w:pPr>
            <w:r>
              <w:rPr>
                <w:rFonts w:eastAsia="Batang" w:cs="Arial"/>
                <w:color w:val="FF0000"/>
                <w:sz w:val="20"/>
                <w:szCs w:val="20"/>
              </w:rPr>
              <w:t>A su turno</w:t>
            </w:r>
            <w:r w:rsidR="00C96A77" w:rsidRPr="00BC5A7A">
              <w:rPr>
                <w:rFonts w:eastAsia="Batang" w:cs="Arial"/>
                <w:color w:val="FF0000"/>
                <w:sz w:val="20"/>
                <w:szCs w:val="20"/>
              </w:rPr>
              <w:t xml:space="preserve"> </w:t>
            </w:r>
            <w:r w:rsidR="00C96A77"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>ORDEN</w:t>
            </w:r>
            <w:r>
              <w:rPr>
                <w:rFonts w:eastAsia="Batang" w:cs="Arial"/>
                <w:b/>
                <w:color w:val="FF0000"/>
                <w:sz w:val="20"/>
                <w:szCs w:val="20"/>
              </w:rPr>
              <w:t>Ó</w:t>
            </w:r>
            <w:r w:rsidR="00020F77" w:rsidRPr="00BC5A7A">
              <w:rPr>
                <w:rFonts w:eastAsia="Batang" w:cs="Arial"/>
                <w:b/>
                <w:color w:val="FF0000"/>
                <w:sz w:val="20"/>
                <w:szCs w:val="20"/>
              </w:rPr>
              <w:t xml:space="preserve"> 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t xml:space="preserve">a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 compañía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Drummond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Ltd. ejecutar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t xml:space="preserve"> la instalación de maquinaria de última generación técnica, al igual que amortiguadores, lavadores, cubiertas y recuperadores de </w:t>
            </w:r>
            <w:r w:rsidR="00020F77" w:rsidRPr="00BC5A7A">
              <w:rPr>
                <w:rFonts w:cs="Arial"/>
                <w:color w:val="FF0000"/>
                <w:sz w:val="20"/>
                <w:szCs w:val="20"/>
              </w:rPr>
              <w:lastRenderedPageBreak/>
              <w:t>carbón y sus partículas, para contrarrestar el ruido y la dispersión.</w:t>
            </w:r>
          </w:p>
        </w:tc>
      </w:tr>
      <w:tr w:rsidR="001A1FA4" w:rsidRPr="00BC5A7A" w:rsidTr="008A3680">
        <w:trPr>
          <w:trHeight w:val="822"/>
        </w:trPr>
        <w:tc>
          <w:tcPr>
            <w:tcW w:w="13751" w:type="dxa"/>
            <w:gridSpan w:val="6"/>
          </w:tcPr>
          <w:p w:rsidR="00EF6DF8" w:rsidRPr="00BC5A7A" w:rsidRDefault="000955EA" w:rsidP="008A6AA9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5A7A">
              <w:rPr>
                <w:rFonts w:cs="Arial"/>
                <w:b/>
                <w:color w:val="FF0000"/>
                <w:sz w:val="20"/>
                <w:szCs w:val="20"/>
              </w:rPr>
              <w:lastRenderedPageBreak/>
              <w:t>COMENTARIO:</w:t>
            </w:r>
            <w:r w:rsidR="00583CB4">
              <w:rPr>
                <w:rFonts w:cs="Arial"/>
                <w:b/>
                <w:color w:val="FF0000"/>
                <w:sz w:val="20"/>
                <w:szCs w:val="20"/>
              </w:rPr>
              <w:t xml:space="preserve"> U</w:t>
            </w:r>
            <w:r w:rsidR="00024998" w:rsidRPr="00BC5A7A">
              <w:rPr>
                <w:rFonts w:cs="Arial"/>
                <w:b/>
                <w:color w:val="FF0000"/>
                <w:sz w:val="20"/>
                <w:szCs w:val="20"/>
              </w:rPr>
              <w:t>na actividad económica</w:t>
            </w:r>
            <w:r w:rsidR="00583CB4">
              <w:rPr>
                <w:rFonts w:cs="Arial"/>
                <w:b/>
                <w:color w:val="FF0000"/>
                <w:sz w:val="20"/>
                <w:szCs w:val="20"/>
              </w:rPr>
              <w:t>mente</w:t>
            </w:r>
            <w:r w:rsidR="0002499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sostenible como </w:t>
            </w:r>
            <w:r w:rsidR="00DD1156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es </w:t>
            </w:r>
            <w:r w:rsidR="00024998" w:rsidRPr="00BC5A7A">
              <w:rPr>
                <w:rFonts w:cs="Arial"/>
                <w:b/>
                <w:color w:val="FF0000"/>
                <w:sz w:val="20"/>
                <w:szCs w:val="20"/>
              </w:rPr>
              <w:t>la explotación minera</w:t>
            </w:r>
            <w:r w:rsidR="00DD1156" w:rsidRPr="00BC5A7A"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="0002499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genera para algunos colombianos (los trabaj</w:t>
            </w:r>
            <w:r w:rsidR="00583CB4">
              <w:rPr>
                <w:rFonts w:cs="Arial"/>
                <w:b/>
                <w:color w:val="FF0000"/>
                <w:sz w:val="20"/>
                <w:szCs w:val="20"/>
              </w:rPr>
              <w:t>adores de las empresas)  y</w:t>
            </w:r>
            <w:r w:rsidR="00024998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para el país un beneficio económico </w:t>
            </w:r>
            <w:r w:rsidR="00B96873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y </w:t>
            </w:r>
            <w:r w:rsidR="00DD1156" w:rsidRPr="00BC5A7A">
              <w:rPr>
                <w:rFonts w:cs="Arial"/>
                <w:b/>
                <w:color w:val="FF0000"/>
                <w:sz w:val="20"/>
                <w:szCs w:val="20"/>
              </w:rPr>
              <w:t>laboral reconocido,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 xml:space="preserve"> motivo por el cual empresas como</w:t>
            </w:r>
            <w:r w:rsidR="00B96873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DRUMMOND LTD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  <w:r w:rsidR="00B96873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pretenden </w:t>
            </w:r>
            <w:r w:rsidR="00766692" w:rsidRPr="00BC5A7A">
              <w:rPr>
                <w:rFonts w:cs="Arial"/>
                <w:b/>
                <w:color w:val="FF0000"/>
                <w:sz w:val="20"/>
                <w:szCs w:val="20"/>
              </w:rPr>
              <w:t>ser</w:t>
            </w:r>
            <w:r w:rsidR="00583CB4">
              <w:rPr>
                <w:rFonts w:cs="Arial"/>
                <w:b/>
                <w:color w:val="FF0000"/>
                <w:sz w:val="20"/>
                <w:szCs w:val="20"/>
              </w:rPr>
              <w:t xml:space="preserve"> consideradas</w:t>
            </w:r>
            <w:r w:rsidR="00766692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>intocables por la ley a causa de su aporte económico</w:t>
            </w:r>
            <w:r w:rsidR="00DD1156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y</w:t>
            </w:r>
            <w:r w:rsidR="00583CB4">
              <w:rPr>
                <w:rFonts w:cs="Arial"/>
                <w:b/>
                <w:color w:val="FF0000"/>
                <w:sz w:val="20"/>
                <w:szCs w:val="20"/>
              </w:rPr>
              <w:t xml:space="preserve"> laboral para la Nación</w:t>
            </w:r>
            <w:r w:rsidR="00766692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, olvidando que 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>nue</w:t>
            </w:r>
            <w:r w:rsidR="00DD1156" w:rsidRPr="00BC5A7A">
              <w:rPr>
                <w:rFonts w:cs="Arial"/>
                <w:b/>
                <w:color w:val="FF0000"/>
                <w:sz w:val="20"/>
                <w:szCs w:val="20"/>
              </w:rPr>
              <w:t>stra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>Co</w:t>
            </w:r>
            <w:r w:rsidR="00861A96" w:rsidRPr="00BC5A7A">
              <w:rPr>
                <w:rFonts w:cs="Arial"/>
                <w:b/>
                <w:color w:val="FF0000"/>
                <w:sz w:val="20"/>
                <w:szCs w:val="20"/>
              </w:rPr>
              <w:t>nstitución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 xml:space="preserve">Política </w:t>
            </w:r>
            <w:r w:rsidR="00E94E3E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acuerda que 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el bien común, el interés 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 xml:space="preserve"> social y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la preservación del ambiente </w:t>
            </w:r>
            <w:r w:rsidR="00E94E3E" w:rsidRPr="00BC5A7A">
              <w:rPr>
                <w:rFonts w:cs="Arial"/>
                <w:b/>
                <w:color w:val="FF0000"/>
                <w:sz w:val="20"/>
                <w:szCs w:val="20"/>
              </w:rPr>
              <w:t>prevalecen y están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por encima de los derechos que a estos se les reconoce</w:t>
            </w:r>
            <w:r w:rsidR="00861A96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como</w:t>
            </w:r>
            <w:r w:rsidR="004C7A77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la propiedad privada, la actividad económica entre otros</w:t>
            </w:r>
            <w:r w:rsidR="00E94E3E" w:rsidRPr="00BC5A7A">
              <w:rPr>
                <w:rFonts w:cs="Arial"/>
                <w:b/>
                <w:color w:val="FF0000"/>
                <w:sz w:val="20"/>
                <w:szCs w:val="20"/>
              </w:rPr>
              <w:t>, motivo por el que sin dejar de reconocer los derechos particulares de los trabajadores de estas empresas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="00E94E3E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debe primar el interés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común y en este caso </w:t>
            </w:r>
            <w:r w:rsidR="00E94E3E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LA PRESERVACION DEL MEDIO AMBIENTE en conexidad con derechos fundamentales como la vida y la salud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sin ningún perjuicio ni desconocimiento por motivo del acatamiento de la normativa impuesta a es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>tas empresas, si se prueba el p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>e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>r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>juicio o la puesta en peligro de un derecho fundamental deben ser accio</w:t>
            </w:r>
            <w:r w:rsidR="00766692" w:rsidRPr="00BC5A7A">
              <w:rPr>
                <w:rFonts w:cs="Arial"/>
                <w:b/>
                <w:color w:val="FF0000"/>
                <w:sz w:val="20"/>
                <w:szCs w:val="20"/>
              </w:rPr>
              <w:t>nadas con medidas que demuestren</w:t>
            </w:r>
            <w:r w:rsidR="00140E5B" w:rsidRPr="00BC5A7A">
              <w:rPr>
                <w:rFonts w:cs="Arial"/>
                <w:b/>
                <w:color w:val="FF0000"/>
                <w:sz w:val="20"/>
                <w:szCs w:val="20"/>
              </w:rPr>
              <w:t xml:space="preserve"> su clara protección a los DERECHOS FUNDAMENTALES</w:t>
            </w:r>
            <w:r w:rsidR="008A6AA9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B5550D" w:rsidRPr="00BC5A7A" w:rsidRDefault="00B5550D" w:rsidP="008A6AA9">
      <w:pPr>
        <w:spacing w:line="240" w:lineRule="auto"/>
        <w:rPr>
          <w:rFonts w:cs="Arial"/>
          <w:b/>
          <w:color w:val="FF0000"/>
          <w:sz w:val="20"/>
          <w:szCs w:val="20"/>
        </w:rPr>
      </w:pPr>
      <w:bookmarkStart w:id="0" w:name="_GoBack"/>
      <w:bookmarkEnd w:id="0"/>
    </w:p>
    <w:sectPr w:rsidR="00B5550D" w:rsidRPr="00BC5A7A" w:rsidSect="008A368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68C"/>
    <w:multiLevelType w:val="hybridMultilevel"/>
    <w:tmpl w:val="4E72F29C"/>
    <w:lvl w:ilvl="0" w:tplc="AAA2B7BC">
      <w:start w:val="1"/>
      <w:numFmt w:val="lowerRoman"/>
      <w:lvlText w:val="%1)"/>
      <w:lvlJc w:val="left"/>
      <w:pPr>
        <w:ind w:left="750" w:hanging="72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362E"/>
    <w:rsid w:val="00020F77"/>
    <w:rsid w:val="00024998"/>
    <w:rsid w:val="0008555D"/>
    <w:rsid w:val="000955EA"/>
    <w:rsid w:val="000C365E"/>
    <w:rsid w:val="000F1B25"/>
    <w:rsid w:val="00140E5B"/>
    <w:rsid w:val="001A1FA4"/>
    <w:rsid w:val="001C37F4"/>
    <w:rsid w:val="002646FE"/>
    <w:rsid w:val="002E1AFA"/>
    <w:rsid w:val="002E4FB0"/>
    <w:rsid w:val="002F3735"/>
    <w:rsid w:val="003835BA"/>
    <w:rsid w:val="004013E6"/>
    <w:rsid w:val="00422AEB"/>
    <w:rsid w:val="004C7A77"/>
    <w:rsid w:val="00557401"/>
    <w:rsid w:val="00583CB4"/>
    <w:rsid w:val="005845EB"/>
    <w:rsid w:val="005927CB"/>
    <w:rsid w:val="005A0285"/>
    <w:rsid w:val="0060347D"/>
    <w:rsid w:val="0061595C"/>
    <w:rsid w:val="006C7B50"/>
    <w:rsid w:val="006E66AD"/>
    <w:rsid w:val="006E6DA1"/>
    <w:rsid w:val="00722D11"/>
    <w:rsid w:val="00763030"/>
    <w:rsid w:val="00766692"/>
    <w:rsid w:val="007E26B5"/>
    <w:rsid w:val="007F1F09"/>
    <w:rsid w:val="0083127E"/>
    <w:rsid w:val="00843A53"/>
    <w:rsid w:val="00855384"/>
    <w:rsid w:val="0085548F"/>
    <w:rsid w:val="00861A96"/>
    <w:rsid w:val="008A3680"/>
    <w:rsid w:val="008A6AA9"/>
    <w:rsid w:val="008E2869"/>
    <w:rsid w:val="008F3B29"/>
    <w:rsid w:val="009704E7"/>
    <w:rsid w:val="009C5175"/>
    <w:rsid w:val="00A16635"/>
    <w:rsid w:val="00A727EC"/>
    <w:rsid w:val="00A9362E"/>
    <w:rsid w:val="00AD2E96"/>
    <w:rsid w:val="00AF2C8A"/>
    <w:rsid w:val="00B0198E"/>
    <w:rsid w:val="00B05FE7"/>
    <w:rsid w:val="00B16D86"/>
    <w:rsid w:val="00B5550D"/>
    <w:rsid w:val="00B60A0F"/>
    <w:rsid w:val="00B60F09"/>
    <w:rsid w:val="00B96873"/>
    <w:rsid w:val="00BC5A7A"/>
    <w:rsid w:val="00BE0546"/>
    <w:rsid w:val="00C2166B"/>
    <w:rsid w:val="00C65CF4"/>
    <w:rsid w:val="00C926F0"/>
    <w:rsid w:val="00C96A77"/>
    <w:rsid w:val="00CD7B99"/>
    <w:rsid w:val="00CE62D1"/>
    <w:rsid w:val="00CE6E56"/>
    <w:rsid w:val="00D042F1"/>
    <w:rsid w:val="00D10480"/>
    <w:rsid w:val="00D22948"/>
    <w:rsid w:val="00DB2D82"/>
    <w:rsid w:val="00DD1156"/>
    <w:rsid w:val="00DF2E58"/>
    <w:rsid w:val="00E601EC"/>
    <w:rsid w:val="00E90C84"/>
    <w:rsid w:val="00E94E3E"/>
    <w:rsid w:val="00EA5606"/>
    <w:rsid w:val="00ED47D4"/>
    <w:rsid w:val="00EF6DF8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2F3735"/>
    <w:rPr>
      <w:b/>
      <w:bCs/>
    </w:rPr>
  </w:style>
  <w:style w:type="paragraph" w:styleId="Prrafodelista">
    <w:name w:val="List Paragraph"/>
    <w:basedOn w:val="Normal"/>
    <w:uiPriority w:val="34"/>
    <w:qFormat/>
    <w:rsid w:val="007F1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juan.rosas</dc:creator>
  <cp:lastModifiedBy>usuario</cp:lastModifiedBy>
  <cp:revision>2</cp:revision>
  <cp:lastPrinted>2014-02-03T16:03:00Z</cp:lastPrinted>
  <dcterms:created xsi:type="dcterms:W3CDTF">2014-06-26T21:17:00Z</dcterms:created>
  <dcterms:modified xsi:type="dcterms:W3CDTF">2014-06-26T21:17:00Z</dcterms:modified>
</cp:coreProperties>
</file>